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D47395C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77777777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6961FD72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BDD1E09" w14:textId="0EB85DE6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437D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885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885"/>
      </w:tblGrid>
      <w:tr w:rsidR="007A1D28" w:rsidRPr="009B0208" w14:paraId="4003EEEE" w14:textId="77777777" w:rsidTr="007A1D28">
        <w:tc>
          <w:tcPr>
            <w:tcW w:w="14885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A1D2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6D470167" w14:textId="77777777" w:rsidR="007A1D28" w:rsidRPr="009B0208" w:rsidRDefault="007A1D28" w:rsidP="007A1D2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</w:p>
          <w:p w14:paraId="580DAB0D" w14:textId="77777777" w:rsidR="007A1D28" w:rsidRPr="009B0208" w:rsidRDefault="007A1D28" w:rsidP="007A1D2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1F67FB73" w14:textId="77777777" w:rsidR="007A1D28" w:rsidRPr="009B0208" w:rsidRDefault="007A1D28" w:rsidP="007A1D2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3262991" w14:textId="77777777" w:rsidR="007A1D28" w:rsidRPr="009B0208" w:rsidRDefault="007A1D28" w:rsidP="007A1D2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1A2511AE" w14:textId="77777777" w:rsidR="00BF3A5D" w:rsidRPr="009B0208" w:rsidRDefault="00BF3A5D" w:rsidP="00BF3A5D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1B240B4B" w14:textId="77777777" w:rsidR="00BF3A5D" w:rsidRPr="009B0208" w:rsidRDefault="00BF3A5D" w:rsidP="00BF3A5D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D1EFDF" w14:textId="77777777" w:rsidR="00BF3A5D" w:rsidRPr="009B0208" w:rsidRDefault="00BF3A5D" w:rsidP="00BF3A5D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20EC1D9F" w14:textId="77777777" w:rsidR="00BF3A5D" w:rsidRPr="009B0208" w:rsidRDefault="00BF3A5D" w:rsidP="00BF3A5D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5B5E0223" w:rsidR="007A1D28" w:rsidRPr="009B0208" w:rsidRDefault="00BF3A5D" w:rsidP="00041EA6">
            <w:pPr>
              <w:ind w:left="34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je povinný zostaviť rozpočet projektu, pričom ako oprávnené výdavky si môže nárokovať len tie, ktoré spadajú do nižšie 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4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6989B0B" w14:textId="79E1617B" w:rsidR="003A78DE" w:rsidRDefault="003A78DE">
      <w:pPr>
        <w:rPr>
          <w:rFonts w:asciiTheme="minorHAnsi" w:hAnsiTheme="minorHAnsi" w:cstheme="minorHAnsi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BF3A5D" w:rsidRPr="009B0208" w14:paraId="467044A5" w14:textId="77777777" w:rsidTr="00A520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B10DED" w14:textId="77777777" w:rsidR="00BF3A5D" w:rsidRPr="009B0208" w:rsidRDefault="00BF3A5D" w:rsidP="0089450E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5.1.1 - Zvýšenie zamestnanosti na miestnej úrovni podporou podnikania a inovácii</w:t>
            </w:r>
          </w:p>
        </w:tc>
      </w:tr>
      <w:tr w:rsidR="00BF3A5D" w:rsidRPr="009B0208" w14:paraId="75A0F07C" w14:textId="77777777" w:rsidTr="00A5202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C06380B" w14:textId="77777777" w:rsidR="00BF3A5D" w:rsidRPr="009B0208" w:rsidRDefault="00BF3A5D" w:rsidP="0089450E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BF3A5D" w:rsidRPr="009B0208" w14:paraId="5F9F1800" w14:textId="77777777" w:rsidTr="00A5202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A36B3DE" w14:textId="77777777" w:rsidR="00BF3A5D" w:rsidRPr="009B0208" w:rsidRDefault="00BF3A5D" w:rsidP="0089450E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BF3A5D" w:rsidRPr="009B0208" w14:paraId="7B7DBCAA" w14:textId="77777777" w:rsidTr="00A5202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568955C" w14:textId="77777777" w:rsidR="00BF3A5D" w:rsidRPr="009B0208" w:rsidRDefault="00BF3A5D" w:rsidP="0089450E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836D0B3" w14:textId="77777777" w:rsidR="00BF3A5D" w:rsidRPr="00773273" w:rsidRDefault="00BF3A5D" w:rsidP="00BF3A5D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79F13A9E" w14:textId="77777777" w:rsidR="00BF3A5D" w:rsidRPr="00773273" w:rsidRDefault="00BF3A5D" w:rsidP="00BF3A5D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3662A633" w14:textId="77777777" w:rsidR="00BF3A5D" w:rsidRPr="00773273" w:rsidRDefault="00BF3A5D" w:rsidP="00BF3A5D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18ED476" w14:textId="77777777" w:rsidR="00BF3A5D" w:rsidRPr="00773273" w:rsidRDefault="00BF3A5D" w:rsidP="00BF3A5D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reťazcov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sieťovanie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ekonomiky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výmena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5F7975DA" w14:textId="77777777" w:rsidR="00BF3A5D" w:rsidRDefault="00BF3A5D" w:rsidP="0089450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1AB14DF" w14:textId="77777777" w:rsidR="00BF3A5D" w:rsidRDefault="00BF3A5D" w:rsidP="0089450E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je na všetky oblasti ekonomických činností na území MAS, s výnimkou nasledovných (definovaných podľa štatistickej klasifikácie SK NACE, rev. 2):</w:t>
            </w:r>
          </w:p>
          <w:p w14:paraId="2B4C8ACD" w14:textId="77777777" w:rsidR="00BF3A5D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275A181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65C1B331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53045D21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69759E44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60458A64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6DB098C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76EF5B8E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57984448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280ED9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07805500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6149A87B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</w:pP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37AEA379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41C2181F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4E243BD2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5F17C9F8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2EAC1167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1A245BE3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7FE5C12B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2C30872F" w14:textId="77777777" w:rsidR="00BF3A5D" w:rsidRPr="00280ED9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5CBED397" w14:textId="77777777" w:rsidR="00BF3A5D" w:rsidRPr="00F64E2F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FC82691" w14:textId="77777777" w:rsidR="00BF3A5D" w:rsidRDefault="00BF3A5D" w:rsidP="0089450E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C7C52EE" w14:textId="77777777" w:rsidR="00BF3A5D" w:rsidRDefault="00BF3A5D" w:rsidP="0089450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 xml:space="preserve">Činnosť, na podporu ktorej bude projekt zameraný (teda SK NACE na úrovni projektu) nesmie spadať pod žiadnu z vyššie uvedených oblastí. </w:t>
            </w:r>
          </w:p>
          <w:p w14:paraId="28864E87" w14:textId="77777777" w:rsidR="00BF3A5D" w:rsidRDefault="00BF3A5D" w:rsidP="0089450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37F5142" w14:textId="77777777" w:rsidR="00BF3A5D" w:rsidRPr="00280ED9" w:rsidRDefault="00BF3A5D" w:rsidP="0089450E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280ED9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65D1E02" w14:textId="636A8D28" w:rsidR="00BF3A5D" w:rsidRPr="00F64E2F" w:rsidRDefault="00BF3A5D" w:rsidP="0089450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  <w:r w:rsidRPr="00280ED9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Pr="00280ED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a </w:t>
            </w:r>
            <w:proofErr w:type="spellStart"/>
            <w:r w:rsidR="00513DF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39AD2A4C" w14:textId="77777777" w:rsidR="00BF3A5D" w:rsidRDefault="00BF3A5D" w:rsidP="0089450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33C800C" w14:textId="77777777" w:rsidR="00C57A8A" w:rsidRDefault="00C57A8A" w:rsidP="00C57A8A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 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samostatné čestné vyhlásenie. Vnútorné vybavenie ubytovacích zariadení je neoprávneným výdavkom.</w:t>
            </w:r>
          </w:p>
          <w:p w14:paraId="3D54DBB6" w14:textId="6CE21E31" w:rsidR="00C57A8A" w:rsidRPr="00773273" w:rsidRDefault="00C57A8A" w:rsidP="0089450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BF3A5D" w:rsidRPr="009B0208" w14:paraId="3BCE7E4E" w14:textId="77777777" w:rsidTr="00A5202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1BBC703" w14:textId="77777777" w:rsidR="00BF3A5D" w:rsidRPr="009B0208" w:rsidRDefault="00BF3A5D" w:rsidP="0089450E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BF3A5D" w:rsidRPr="009B0208" w14:paraId="611EFDFA" w14:textId="77777777" w:rsidTr="00A5202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BD0435C" w14:textId="77777777" w:rsidR="00BF3A5D" w:rsidRPr="009B0208" w:rsidRDefault="00BF3A5D" w:rsidP="0089450E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7FB51621" w14:textId="77777777" w:rsidR="00BF3A5D" w:rsidRPr="009B0208" w:rsidRDefault="00BF3A5D" w:rsidP="0089450E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BF3A5D" w:rsidRPr="009B0208" w14:paraId="5AC6F98A" w14:textId="77777777" w:rsidTr="00A5202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D0241C0" w14:textId="77777777" w:rsidR="00BF3A5D" w:rsidRPr="009B0208" w:rsidRDefault="00BF3A5D" w:rsidP="0089450E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AA14C19" w14:textId="77777777" w:rsidR="00BF3A5D" w:rsidRDefault="00BF3A5D" w:rsidP="0089450E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78F143E7" w14:textId="77777777" w:rsidR="00BF3A5D" w:rsidRPr="009B0208" w:rsidRDefault="00BF3A5D" w:rsidP="0089450E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BF3A5D" w:rsidRPr="009B0208" w14:paraId="726C292E" w14:textId="77777777" w:rsidTr="00A5202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601075" w14:textId="77777777" w:rsidR="00BF3A5D" w:rsidRPr="009B0208" w:rsidRDefault="00BF3A5D" w:rsidP="0089450E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6640C81" w14:textId="77777777" w:rsidR="00BF3A5D" w:rsidRPr="009B0208" w:rsidRDefault="00BF3A5D" w:rsidP="0089450E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 vrátane obslužného softvéru, ak tvorí súčasť obstarávacej ceny zariadenia,</w:t>
            </w:r>
          </w:p>
          <w:p w14:paraId="27408CF4" w14:textId="77777777" w:rsidR="00BF3A5D" w:rsidRPr="009B0208" w:rsidRDefault="00BF3A5D" w:rsidP="0089450E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 vrátane obslužného softvéru, ak tvorí súčasť obstarávacej ceny zariadenia,</w:t>
            </w:r>
          </w:p>
        </w:tc>
      </w:tr>
      <w:tr w:rsidR="00A52029" w:rsidRPr="009B0208" w14:paraId="46BADFFF" w14:textId="77777777" w:rsidTr="00A5202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DDD48F5" w14:textId="0C2F4A85" w:rsidR="00A52029" w:rsidRPr="009B0208" w:rsidRDefault="00A52029" w:rsidP="00A52029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D4A916F" w14:textId="77777777" w:rsidR="00A52029" w:rsidRDefault="00A52029" w:rsidP="00A52029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proofErr w:type="gram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00B9FCE3" w14:textId="77777777" w:rsidR="00A52029" w:rsidRDefault="00A52029" w:rsidP="00A52029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2D44E2BB" w14:textId="7A272E5C" w:rsidR="00A52029" w:rsidRPr="009B0208" w:rsidRDefault="00A52029" w:rsidP="00A52029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</w:t>
            </w:r>
            <w:proofErr w:type="spellEnd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vozidiel</w:t>
            </w:r>
            <w:proofErr w:type="spellEnd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cestnej</w:t>
            </w:r>
            <w:proofErr w:type="spellEnd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nákladnej</w:t>
            </w:r>
            <w:proofErr w:type="spellEnd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dopravy</w:t>
            </w:r>
            <w:proofErr w:type="spellEnd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nie</w:t>
            </w:r>
            <w:proofErr w:type="spellEnd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825524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cestenej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nákladného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vozidla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prepravu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materiálu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tovaru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účely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teda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za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úplatu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tretie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subjekty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</w:tr>
      <w:tr w:rsidR="00A52029" w:rsidRPr="009B0208" w14:paraId="7E92CEBA" w14:textId="77777777" w:rsidTr="00A5202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A74C0EC" w14:textId="77777777" w:rsidR="00A52029" w:rsidRPr="009B0208" w:rsidRDefault="00A52029" w:rsidP="00A52029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C19F746" w14:textId="77777777" w:rsidR="00A52029" w:rsidRPr="009B0208" w:rsidRDefault="00A52029" w:rsidP="00A52029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7B301497" w14:textId="77777777" w:rsidR="00A52029" w:rsidRPr="009B0208" w:rsidRDefault="00A52029" w:rsidP="00A52029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celok,</w:t>
            </w:r>
          </w:p>
        </w:tc>
      </w:tr>
      <w:tr w:rsidR="00A52029" w:rsidRPr="009B0208" w14:paraId="2DA64D58" w14:textId="77777777" w:rsidTr="00A5202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1A8BC" w14:textId="77777777" w:rsidR="00A52029" w:rsidRPr="009B0208" w:rsidRDefault="00A52029" w:rsidP="00A52029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D83152D" w14:textId="77777777" w:rsidR="00A52029" w:rsidRPr="009B0208" w:rsidRDefault="00A52029" w:rsidP="00A52029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 pod.),</w:t>
            </w:r>
          </w:p>
          <w:p w14:paraId="28D05A3B" w14:textId="77777777" w:rsidR="00A52029" w:rsidRPr="009B0208" w:rsidRDefault="00A52029" w:rsidP="00A52029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5C225F13" w14:textId="77777777" w:rsidR="00A52029" w:rsidRPr="009B0208" w:rsidRDefault="00A52029" w:rsidP="00A52029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projektu.</w:t>
            </w:r>
          </w:p>
        </w:tc>
      </w:tr>
    </w:tbl>
    <w:p w14:paraId="566591CF" w14:textId="77777777" w:rsidR="00BF3A5D" w:rsidRPr="009B0208" w:rsidRDefault="00BF3A5D">
      <w:pPr>
        <w:rPr>
          <w:rFonts w:asciiTheme="minorHAnsi" w:hAnsiTheme="minorHAnsi" w:cstheme="minorHAnsi"/>
        </w:rPr>
      </w:pPr>
    </w:p>
    <w:sectPr w:rsidR="00BF3A5D" w:rsidRPr="009B0208" w:rsidSect="00437D96">
      <w:headerReference w:type="first" r:id="rId15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A10E4" w14:textId="77777777" w:rsidR="00287FB3" w:rsidRDefault="00287FB3" w:rsidP="007900C1">
      <w:r>
        <w:separator/>
      </w:r>
    </w:p>
  </w:endnote>
  <w:endnote w:type="continuationSeparator" w:id="0">
    <w:p w14:paraId="6154EADF" w14:textId="77777777" w:rsidR="00287FB3" w:rsidRDefault="00287FB3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29EF1" w14:textId="77777777" w:rsidR="00CE6CBB" w:rsidRDefault="00CE6C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9436F" w14:textId="77777777" w:rsidR="004B5802" w:rsidRDefault="004B5802" w:rsidP="00437D96">
    <w:pPr>
      <w:pStyle w:val="Pta"/>
      <w:jc w:val="right"/>
    </w:pPr>
    <w:r w:rsidRPr="00627EA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144A21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3BE682CA" w:rsidR="004B5802" w:rsidRDefault="004B5802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E6CBB">
          <w:rPr>
            <w:noProof/>
          </w:rPr>
          <w:t>4</w:t>
        </w:r>
        <w:r>
          <w:fldChar w:fldCharType="end"/>
        </w:r>
      </w:sdtContent>
    </w:sdt>
  </w:p>
  <w:p w14:paraId="72533D34" w14:textId="77777777" w:rsidR="004B5802" w:rsidRDefault="004B580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6B2F0" w14:textId="77777777" w:rsidR="00CE6CBB" w:rsidRDefault="00CE6C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BAFFB" w14:textId="77777777" w:rsidR="00287FB3" w:rsidRDefault="00287FB3" w:rsidP="007900C1">
      <w:r>
        <w:separator/>
      </w:r>
    </w:p>
  </w:footnote>
  <w:footnote w:type="continuationSeparator" w:id="0">
    <w:p w14:paraId="7CC0B942" w14:textId="77777777" w:rsidR="00287FB3" w:rsidRDefault="00287FB3" w:rsidP="007900C1">
      <w:r>
        <w:continuationSeparator/>
      </w:r>
    </w:p>
  </w:footnote>
  <w:footnote w:id="1">
    <w:p w14:paraId="35A3129F" w14:textId="77777777" w:rsidR="00BF3A5D" w:rsidRDefault="00BF3A5D" w:rsidP="00BF3A5D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F80DD" w14:textId="77777777" w:rsidR="00CE6CBB" w:rsidRDefault="00CE6C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8EC0B" w14:textId="525A0D97" w:rsidR="004B5802" w:rsidRDefault="009A7200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59264" behindDoc="1" locked="0" layoutInCell="1" allowOverlap="1" wp14:anchorId="761CD537" wp14:editId="08E7183F">
          <wp:simplePos x="0" y="0"/>
          <wp:positionH relativeFrom="column">
            <wp:posOffset>6870065</wp:posOffset>
          </wp:positionH>
          <wp:positionV relativeFrom="paragraph">
            <wp:posOffset>-99695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72576" behindDoc="1" locked="0" layoutInCell="1" allowOverlap="1" wp14:anchorId="4F2B964F" wp14:editId="154B0497">
          <wp:simplePos x="0" y="0"/>
          <wp:positionH relativeFrom="column">
            <wp:posOffset>129540</wp:posOffset>
          </wp:positionH>
          <wp:positionV relativeFrom="paragraph">
            <wp:posOffset>-189865</wp:posOffset>
          </wp:positionV>
          <wp:extent cx="1027946" cy="594360"/>
          <wp:effectExtent l="0" t="0" r="127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946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5802" w:rsidRPr="004C2F1F"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60288" behindDoc="1" locked="0" layoutInCell="1" allowOverlap="1" wp14:anchorId="49A0EDA4" wp14:editId="1B88E960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B5802">
      <w:rPr>
        <w:rFonts w:ascii="Arial Narrow" w:hAnsi="Arial Narrow"/>
        <w:sz w:val="20"/>
      </w:rPr>
      <w:tab/>
    </w:r>
    <w:r w:rsidR="004B5802">
      <w:rPr>
        <w:rFonts w:ascii="Arial Narrow" w:hAnsi="Arial Narrow"/>
        <w:sz w:val="20"/>
      </w:rPr>
      <w:tab/>
    </w:r>
    <w:r w:rsidR="004B5802" w:rsidRPr="004C2F1F"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62336" behindDoc="1" locked="0" layoutInCell="1" allowOverlap="1" wp14:anchorId="071ABFE6" wp14:editId="284086C4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46546" w14:textId="470A1F1D" w:rsidR="004B5802" w:rsidRDefault="009A7200">
    <w:pPr>
      <w:pStyle w:val="Hlavika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4760A" w14:textId="5A810949" w:rsidR="004B5802" w:rsidRDefault="009A7200" w:rsidP="009A7200">
    <w:pPr>
      <w:pStyle w:val="Hlavika"/>
      <w:tabs>
        <w:tab w:val="left" w:pos="372"/>
        <w:tab w:val="right" w:pos="2434"/>
      </w:tabs>
      <w:jc w:val="left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70528" behindDoc="1" locked="0" layoutInCell="1" allowOverlap="1" wp14:anchorId="30D78B5C" wp14:editId="1E932CD8">
          <wp:simplePos x="0" y="0"/>
          <wp:positionH relativeFrom="column">
            <wp:posOffset>227965</wp:posOffset>
          </wp:positionH>
          <wp:positionV relativeFrom="paragraph">
            <wp:posOffset>-198120</wp:posOffset>
          </wp:positionV>
          <wp:extent cx="1027946" cy="594360"/>
          <wp:effectExtent l="0" t="0" r="127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946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="00BF534E">
      <w:rPr>
        <w:noProof/>
        <w:lang w:val="en-GB" w:eastAsia="en-GB"/>
      </w:rPr>
      <w:drawing>
        <wp:anchor distT="0" distB="0" distL="114300" distR="114300" simplePos="0" relativeHeight="251674624" behindDoc="0" locked="1" layoutInCell="1" allowOverlap="1" wp14:anchorId="639F3A36" wp14:editId="658CA37E">
          <wp:simplePos x="0" y="0"/>
          <wp:positionH relativeFrom="column">
            <wp:posOffset>2701290</wp:posOffset>
          </wp:positionH>
          <wp:positionV relativeFrom="paragraph">
            <wp:posOffset>-198755</wp:posOffset>
          </wp:positionV>
          <wp:extent cx="1371600" cy="491490"/>
          <wp:effectExtent l="0" t="0" r="0" b="381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63360" behindDoc="1" locked="0" layoutInCell="1" allowOverlap="1" wp14:anchorId="2C20D85C" wp14:editId="5F26DD86">
          <wp:simplePos x="0" y="0"/>
          <wp:positionH relativeFrom="column">
            <wp:posOffset>1589405</wp:posOffset>
          </wp:positionH>
          <wp:positionV relativeFrom="paragraph">
            <wp:posOffset>-106045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val="en-GB" w:eastAsia="en-GB"/>
      </w:rPr>
      <w:drawing>
        <wp:anchor distT="0" distB="0" distL="114300" distR="114300" simplePos="0" relativeHeight="251667456" behindDoc="1" locked="0" layoutInCell="1" allowOverlap="1" wp14:anchorId="7171D676" wp14:editId="3C2264C4">
          <wp:simplePos x="0" y="0"/>
          <wp:positionH relativeFrom="column">
            <wp:posOffset>4277995</wp:posOffset>
          </wp:positionH>
          <wp:positionV relativeFrom="paragraph">
            <wp:posOffset>-108585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B5802">
      <w:rPr>
        <w:rFonts w:ascii="Arial Narrow" w:hAnsi="Arial Narrow"/>
        <w:sz w:val="20"/>
      </w:rPr>
      <w:tab/>
    </w:r>
    <w:r w:rsidR="004B5802">
      <w:rPr>
        <w:rFonts w:ascii="Arial Narrow" w:hAnsi="Arial Narrow"/>
        <w:sz w:val="20"/>
      </w:rPr>
      <w:tab/>
    </w:r>
  </w:p>
  <w:p w14:paraId="2C21391F" w14:textId="77777777" w:rsidR="004B5802" w:rsidRPr="00687FF8" w:rsidRDefault="004B5802" w:rsidP="00437D96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18979" w14:textId="77777777" w:rsidR="004B5802" w:rsidRPr="001B5DCB" w:rsidRDefault="004B5802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6C99A" w14:textId="66D4010A" w:rsidR="004B5802" w:rsidRPr="001B5DCB" w:rsidRDefault="004B5802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77CAF018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41EA6"/>
    <w:rsid w:val="00045BF4"/>
    <w:rsid w:val="00050852"/>
    <w:rsid w:val="00065996"/>
    <w:rsid w:val="0009378B"/>
    <w:rsid w:val="000A5B92"/>
    <w:rsid w:val="000A60CE"/>
    <w:rsid w:val="000E52FF"/>
    <w:rsid w:val="00106314"/>
    <w:rsid w:val="00113C2C"/>
    <w:rsid w:val="001770B0"/>
    <w:rsid w:val="001A47AA"/>
    <w:rsid w:val="001A66A4"/>
    <w:rsid w:val="001C424B"/>
    <w:rsid w:val="001D1B9F"/>
    <w:rsid w:val="00215930"/>
    <w:rsid w:val="0027177F"/>
    <w:rsid w:val="00280ED9"/>
    <w:rsid w:val="00286B67"/>
    <w:rsid w:val="00287FB3"/>
    <w:rsid w:val="00290A29"/>
    <w:rsid w:val="002A4B1F"/>
    <w:rsid w:val="002D45AB"/>
    <w:rsid w:val="00302CE4"/>
    <w:rsid w:val="00343ECE"/>
    <w:rsid w:val="003A78DE"/>
    <w:rsid w:val="003D61B8"/>
    <w:rsid w:val="003E0C5A"/>
    <w:rsid w:val="003F65C4"/>
    <w:rsid w:val="004234C1"/>
    <w:rsid w:val="00437D96"/>
    <w:rsid w:val="00450EE2"/>
    <w:rsid w:val="00455E7D"/>
    <w:rsid w:val="00455F27"/>
    <w:rsid w:val="004A07A8"/>
    <w:rsid w:val="004A17A5"/>
    <w:rsid w:val="004B26A3"/>
    <w:rsid w:val="004B5802"/>
    <w:rsid w:val="004C49AD"/>
    <w:rsid w:val="004D546B"/>
    <w:rsid w:val="004F2553"/>
    <w:rsid w:val="00507295"/>
    <w:rsid w:val="00513DF8"/>
    <w:rsid w:val="005265E1"/>
    <w:rsid w:val="00545CDC"/>
    <w:rsid w:val="005A67D1"/>
    <w:rsid w:val="005E412A"/>
    <w:rsid w:val="00652D46"/>
    <w:rsid w:val="006C0D16"/>
    <w:rsid w:val="006C0D2C"/>
    <w:rsid w:val="006C13C8"/>
    <w:rsid w:val="006E0BA1"/>
    <w:rsid w:val="00707EA7"/>
    <w:rsid w:val="007178B7"/>
    <w:rsid w:val="007723AE"/>
    <w:rsid w:val="00783CB3"/>
    <w:rsid w:val="007900C1"/>
    <w:rsid w:val="00791038"/>
    <w:rsid w:val="00796060"/>
    <w:rsid w:val="007A1D28"/>
    <w:rsid w:val="007C283F"/>
    <w:rsid w:val="00831842"/>
    <w:rsid w:val="00856D01"/>
    <w:rsid w:val="008756EC"/>
    <w:rsid w:val="00880DAE"/>
    <w:rsid w:val="008812D1"/>
    <w:rsid w:val="00910377"/>
    <w:rsid w:val="00924CB1"/>
    <w:rsid w:val="00937035"/>
    <w:rsid w:val="009662B4"/>
    <w:rsid w:val="009670EF"/>
    <w:rsid w:val="00991D6C"/>
    <w:rsid w:val="009A7200"/>
    <w:rsid w:val="009B0208"/>
    <w:rsid w:val="009D7016"/>
    <w:rsid w:val="00A0441A"/>
    <w:rsid w:val="00A21F48"/>
    <w:rsid w:val="00A52029"/>
    <w:rsid w:val="00AC21A4"/>
    <w:rsid w:val="00B0092A"/>
    <w:rsid w:val="00B24ED0"/>
    <w:rsid w:val="00B46148"/>
    <w:rsid w:val="00B505EC"/>
    <w:rsid w:val="00B73919"/>
    <w:rsid w:val="00B73A08"/>
    <w:rsid w:val="00B7415C"/>
    <w:rsid w:val="00B97C29"/>
    <w:rsid w:val="00BA25DC"/>
    <w:rsid w:val="00BC265F"/>
    <w:rsid w:val="00BF3A5D"/>
    <w:rsid w:val="00BF534E"/>
    <w:rsid w:val="00C57A8A"/>
    <w:rsid w:val="00CC5DB8"/>
    <w:rsid w:val="00CD4576"/>
    <w:rsid w:val="00CE6CBB"/>
    <w:rsid w:val="00D27547"/>
    <w:rsid w:val="00D80A8E"/>
    <w:rsid w:val="00DD6BA2"/>
    <w:rsid w:val="00ED21AB"/>
    <w:rsid w:val="00F050EA"/>
    <w:rsid w:val="00F241D4"/>
    <w:rsid w:val="00F246B5"/>
    <w:rsid w:val="00F5099A"/>
    <w:rsid w:val="00FD16D9"/>
    <w:rsid w:val="00FE0EB1"/>
    <w:rsid w:val="00FF5E6E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20E061C0-7E05-47CA-8671-5E3F55F8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svg"/><Relationship Id="rId2" Type="http://schemas.openxmlformats.org/officeDocument/2006/relationships/image" Target="media/image5.png"/><Relationship Id="rId1" Type="http://schemas.openxmlformats.org/officeDocument/2006/relationships/image" Target="media/image2.jpg"/><Relationship Id="rId5" Type="http://schemas.openxmlformats.org/officeDocument/2006/relationships/image" Target="media/image4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E0E80-3A66-48D4-868D-FC5F69E8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851</Words>
  <Characters>4852</Characters>
  <Application>Microsoft Office Word</Application>
  <DocSecurity>0</DocSecurity>
  <Lines>40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</dc:creator>
  <cp:lastModifiedBy>Kata</cp:lastModifiedBy>
  <cp:revision>14</cp:revision>
  <dcterms:created xsi:type="dcterms:W3CDTF">2020-03-30T10:28:00Z</dcterms:created>
  <dcterms:modified xsi:type="dcterms:W3CDTF">2021-03-30T13:22:00Z</dcterms:modified>
</cp:coreProperties>
</file>