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2375"/>
        <w:gridCol w:w="4685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1B78BB">
        <w:trPr>
          <w:trHeight w:val="361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653CFBED" w:rsidR="00C702EF" w:rsidRPr="00A42D69" w:rsidRDefault="00C702EF" w:rsidP="001B78BB">
            <w:pPr>
              <w:pStyle w:val="Odsekzoznamu"/>
              <w:spacing w:before="120" w:after="120"/>
              <w:ind w:left="34"/>
              <w:contextualSpacing w:val="0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1C3374"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164" w:type="dxa"/>
            <w:gridSpan w:val="6"/>
            <w:tcBorders>
              <w:bottom w:val="single" w:sz="4" w:space="0" w:color="auto"/>
            </w:tcBorders>
          </w:tcPr>
          <w:p w14:paraId="5002260C" w14:textId="66E385AF" w:rsidR="00C702EF" w:rsidRPr="00264E75" w:rsidRDefault="00D45331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C337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1C3374"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164" w:type="dxa"/>
            <w:gridSpan w:val="6"/>
            <w:tcBorders>
              <w:bottom w:val="single" w:sz="4" w:space="0" w:color="auto"/>
            </w:tcBorders>
          </w:tcPr>
          <w:p w14:paraId="5E751270" w14:textId="158267B9" w:rsidR="00BC628D" w:rsidRPr="00A42D69" w:rsidRDefault="001C3374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="Arial" w:hAnsi="Arial" w:cs="Arial"/>
                <w:i/>
              </w:rPr>
              <w:t>Miestna akčná skupina Stará Čierna voda</w:t>
            </w:r>
          </w:p>
        </w:tc>
      </w:tr>
      <w:tr w:rsidR="00BC628D" w:rsidRPr="00A42D69" w14:paraId="6374EA39" w14:textId="282CFF42" w:rsidTr="001C3374">
        <w:tc>
          <w:tcPr>
            <w:tcW w:w="368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59652600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separate"/>
            </w:r>
            <w:r w:rsidR="00892308">
              <w:rPr>
                <w:rFonts w:asciiTheme="minorHAnsi" w:hAnsiTheme="minorHAnsi"/>
                <w:bCs/>
                <w:szCs w:val="22"/>
                <w:vertAlign w:val="superscript"/>
                <w:lang w:val="hu-HU"/>
              </w:rPr>
              <w:t>Hiba! A könyvjelző nem létezik.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164" w:type="dxa"/>
            <w:gridSpan w:val="6"/>
            <w:tcBorders>
              <w:bottom w:val="single" w:sz="4" w:space="0" w:color="auto"/>
            </w:tcBorders>
          </w:tcPr>
          <w:p w14:paraId="61494B02" w14:textId="1C65D363" w:rsidR="00BC628D" w:rsidRPr="00A42D69" w:rsidRDefault="00D45331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C337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1C3374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68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CD5442" w:rsidRPr="0091189F" w14:paraId="23B754B7" w14:textId="68C33CAD" w:rsidTr="001B78BB">
        <w:trPr>
          <w:trHeight w:val="204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203B439B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A 104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2F73D939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sz w:val="21"/>
                <w:szCs w:val="21"/>
              </w:rPr>
              <w:t>Počet vytvorených pracovných miest</w:t>
            </w:r>
          </w:p>
        </w:tc>
        <w:tc>
          <w:tcPr>
            <w:tcW w:w="46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C14185" w14:textId="0036E2BF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Ukazovateľ vyjadruje celkový počet vytvorených a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obsadených nových pracovných miest v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</w:t>
            </w:r>
          </w:p>
          <w:p w14:paraId="2FA854C5" w14:textId="362E9D2C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Započítavajú sa nové pracovné miesta v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 </w:t>
            </w: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ekvivalentoch plných pracovných úväzkov (FTE), </w:t>
            </w: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0F15BE2D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0A60D30B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141AC508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35506B8A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UR, </w:t>
            </w:r>
            <w:proofErr w:type="spellStart"/>
            <w:r w:rsidR="0043571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2C083567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áno</w:t>
            </w:r>
          </w:p>
        </w:tc>
      </w:tr>
      <w:tr w:rsidR="00CD5442" w:rsidRPr="00A42D69" w14:paraId="283F87CC" w14:textId="643404B7" w:rsidTr="001C3374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693A5CB4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 xml:space="preserve">A 101 </w:t>
            </w:r>
          </w:p>
        </w:tc>
        <w:tc>
          <w:tcPr>
            <w:tcW w:w="2375" w:type="dxa"/>
            <w:shd w:val="clear" w:color="auto" w:fill="FFFFFF" w:themeFill="background1"/>
          </w:tcPr>
          <w:p w14:paraId="7D7BFDDD" w14:textId="1187C89A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sz w:val="21"/>
                <w:szCs w:val="21"/>
              </w:rPr>
              <w:t>Počet produktov, ktoré sú pre firmu nové</w:t>
            </w:r>
          </w:p>
        </w:tc>
        <w:tc>
          <w:tcPr>
            <w:tcW w:w="4685" w:type="dxa"/>
            <w:shd w:val="clear" w:color="auto" w:fill="FFFFFF" w:themeFill="background1"/>
          </w:tcPr>
          <w:p w14:paraId="4DDDFD3D" w14:textId="77777777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Ukazovateľ vyjadruje počet produktov, ktoré sú „nové pre firmu“ v dôsledku projektu.</w:t>
            </w:r>
          </w:p>
          <w:p w14:paraId="5848D95C" w14:textId="77777777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Produkt je pre firmu nový, ak firma nevyrába produkt s rovnakou funkcionalitou, alebo ak technológia výroby je významne odlišná od technológie už vyrábaných produktov.</w:t>
            </w:r>
          </w:p>
          <w:p w14:paraId="7DC79435" w14:textId="77777777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 charakteristík. Za inovovaný produkt sa nepovažuje zmena estetických charakteristík.</w:t>
            </w:r>
          </w:p>
          <w:p w14:paraId="18C6F3B6" w14:textId="6C8DA3C5" w:rsidR="00CD5442" w:rsidRPr="001B78BB" w:rsidRDefault="00CD5442" w:rsidP="001B78B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Produkt môže byť hmotný aj nehmotný, t. j. môže ísť o výrobok aj službu.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2E4DFA9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652E49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1"/>
                <w:szCs w:val="21"/>
                <w:highlight w:val="yellow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11AD82D6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7F0361D8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 xml:space="preserve">UR, </w:t>
            </w:r>
            <w:proofErr w:type="spellStart"/>
            <w:r w:rsidR="0043571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3983584D" w:rsidR="00CD5442" w:rsidRPr="001B78BB" w:rsidRDefault="0091189F" w:rsidP="0091189F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áno – v prípade, ak podnik vyvíja produkt, ktorý je pre podnik nový</w:t>
            </w:r>
          </w:p>
        </w:tc>
      </w:tr>
      <w:tr w:rsidR="00CD5442" w:rsidRPr="00A42D69" w14:paraId="02A2E6A0" w14:textId="77777777" w:rsidTr="001C3374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5591DBD5" w14:textId="4A156FD4" w:rsidR="00CD5442" w:rsidRPr="00CD5442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Cs/>
                <w:color w:val="000000"/>
                <w:szCs w:val="22"/>
              </w:rPr>
            </w:pPr>
            <w:r w:rsidRPr="00CD5442">
              <w:rPr>
                <w:rFonts w:asciiTheme="minorHAnsi" w:hAnsiTheme="minorHAnsi" w:cstheme="minorHAnsi"/>
                <w:bCs/>
                <w:color w:val="000000"/>
                <w:szCs w:val="22"/>
              </w:rPr>
              <w:t>A 102</w:t>
            </w:r>
          </w:p>
        </w:tc>
        <w:tc>
          <w:tcPr>
            <w:tcW w:w="2375" w:type="dxa"/>
            <w:shd w:val="clear" w:color="auto" w:fill="FFFFFF" w:themeFill="background1"/>
          </w:tcPr>
          <w:p w14:paraId="57AB6141" w14:textId="1A5DF945" w:rsidR="00CD5442" w:rsidRPr="001C3374" w:rsidRDefault="00CD5442" w:rsidP="00CD544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374">
              <w:rPr>
                <w:rFonts w:asciiTheme="minorHAnsi" w:hAnsiTheme="minorHAnsi" w:cstheme="minorHAnsi"/>
                <w:sz w:val="22"/>
                <w:szCs w:val="22"/>
              </w:rPr>
              <w:t xml:space="preserve">Počet produktov, ktoré sú pre trh nové </w:t>
            </w:r>
          </w:p>
        </w:tc>
        <w:tc>
          <w:tcPr>
            <w:tcW w:w="4685" w:type="dxa"/>
            <w:shd w:val="clear" w:color="auto" w:fill="FFFFFF" w:themeFill="background1"/>
          </w:tcPr>
          <w:p w14:paraId="672DEDA4" w14:textId="55E8BE31" w:rsidR="00CD5442" w:rsidRPr="00CD5442" w:rsidRDefault="00CD5442" w:rsidP="00CD54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sz w:val="21"/>
                <w:szCs w:val="21"/>
              </w:rPr>
              <w:t>Merateľný ukazovateľ vyjadruje počet produktov, ktoré sú „nové pre trh“ v dôsledku realizácie aktivít projektu. Produkt môže byť hmotný aj nehmotný, t.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 w:rsidRPr="00CD5442">
              <w:rPr>
                <w:rFonts w:asciiTheme="minorHAnsi" w:hAnsiTheme="minorHAnsi" w:cstheme="minorHAnsi"/>
                <w:sz w:val="21"/>
                <w:szCs w:val="21"/>
              </w:rPr>
              <w:t>j. môže ísť o výrobok alebo službu.</w:t>
            </w:r>
          </w:p>
          <w:p w14:paraId="680287C4" w14:textId="77777777" w:rsidR="00CD5442" w:rsidRPr="00CD5442" w:rsidRDefault="00CD5442" w:rsidP="00CD54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sz w:val="21"/>
                <w:szCs w:val="21"/>
              </w:rPr>
              <w:t>Jedná sa o nasledovné typy produktov (výrobkov, služieb, technológií):</w:t>
            </w:r>
          </w:p>
          <w:p w14:paraId="441F4637" w14:textId="039368ED" w:rsidR="00CD5442" w:rsidRPr="00CD5442" w:rsidRDefault="00CD5442" w:rsidP="00CD544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454" w:hanging="219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sz w:val="21"/>
                <w:szCs w:val="21"/>
              </w:rPr>
              <w:t>nový produkt je nový pre trh, ak neexistuje iný produkt dostupný na trhu s rovnakou funkcionalitou, alebo ak je produkt vyrábaný výrazne odlišnou technológiu ako produkty dostupné na trhu,</w:t>
            </w:r>
          </w:p>
          <w:p w14:paraId="7ED587EA" w14:textId="6EFF5C0D" w:rsidR="00CD5442" w:rsidRPr="00CD5442" w:rsidRDefault="00CD5442" w:rsidP="00CD544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454" w:hanging="219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inovovaný existujúci produkt je podstatne zmenený produkt spočívajúci v jeho výrazne zdokonalených vlastnostiach, alebo účele využitia, prípadne spôsobe výroby. Charakteristiky inovovaného produktu sa významne líšia od iných produktov dostupných na trhu.</w:t>
            </w:r>
          </w:p>
          <w:p w14:paraId="64BEE383" w14:textId="60CC1757" w:rsidR="00CD5442" w:rsidRPr="00CD5442" w:rsidRDefault="00CD5442" w:rsidP="00CD54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CD5442">
              <w:rPr>
                <w:rFonts w:asciiTheme="minorHAnsi" w:hAnsiTheme="minorHAnsi" w:cstheme="minorHAnsi"/>
                <w:sz w:val="21"/>
                <w:szCs w:val="21"/>
              </w:rPr>
              <w:t>Trh produktov vzniknutých v rámci podporených projektov si definuje užívateľ samostatne na základe povahy produktu realizovaného v rámci podporeného projektu a prevládajúcej hospodárskej aktivity podniku. Trh môže byť národný, vnútorný trh EÚ, alebo trhy tretích krajín</w:t>
            </w:r>
          </w:p>
        </w:tc>
        <w:tc>
          <w:tcPr>
            <w:tcW w:w="1024" w:type="dxa"/>
            <w:shd w:val="clear" w:color="auto" w:fill="FFFFFF" w:themeFill="background1"/>
          </w:tcPr>
          <w:p w14:paraId="0A2AFDD2" w14:textId="677519B0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Počet </w:t>
            </w:r>
          </w:p>
        </w:tc>
        <w:tc>
          <w:tcPr>
            <w:tcW w:w="1737" w:type="dxa"/>
            <w:shd w:val="clear" w:color="auto" w:fill="FFFFFF" w:themeFill="background1"/>
          </w:tcPr>
          <w:p w14:paraId="2E5823FA" w14:textId="12676A0E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0668FAA0" w14:textId="245C4AE4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4638693" w14:textId="3FCD905B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 xml:space="preserve">UR, </w:t>
            </w:r>
            <w:proofErr w:type="spellStart"/>
            <w:r w:rsidR="0043571C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792E5C96" w14:textId="2EE38305" w:rsidR="00CD5442" w:rsidRPr="001B78BB" w:rsidRDefault="0091189F" w:rsidP="0091189F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áno – v prípade, ak podnik vyvíja produkt, ktorý je nový pre trh</w:t>
            </w:r>
          </w:p>
        </w:tc>
      </w:tr>
      <w:tr w:rsidR="00CD5442" w:rsidRPr="00A42D69" w14:paraId="54A1F229" w14:textId="77777777" w:rsidTr="001C3374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58AF3D08" w14:textId="6579CD54" w:rsidR="00CD5442" w:rsidRPr="00C568DF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1B78BB">
              <w:rPr>
                <w:rFonts w:asciiTheme="minorHAnsi" w:hAnsiTheme="minorHAnsi" w:cstheme="minorHAnsi"/>
                <w:bCs/>
                <w:color w:val="000000"/>
                <w:szCs w:val="22"/>
              </w:rPr>
              <w:t>A 103</w:t>
            </w:r>
          </w:p>
        </w:tc>
        <w:tc>
          <w:tcPr>
            <w:tcW w:w="2375" w:type="dxa"/>
            <w:shd w:val="clear" w:color="auto" w:fill="FFFFFF" w:themeFill="background1"/>
          </w:tcPr>
          <w:p w14:paraId="55C54FF8" w14:textId="4C33EF10" w:rsidR="00CD5442" w:rsidRPr="001C3374" w:rsidRDefault="00CD5442" w:rsidP="00CD544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374">
              <w:rPr>
                <w:rFonts w:asciiTheme="minorHAnsi" w:hAnsiTheme="minorHAnsi" w:cstheme="minorHAnsi"/>
                <w:sz w:val="22"/>
                <w:szCs w:val="22"/>
              </w:rPr>
              <w:t>Počet podnikov, ktorým sa poskytuje podpora</w:t>
            </w:r>
          </w:p>
        </w:tc>
        <w:tc>
          <w:tcPr>
            <w:tcW w:w="4685" w:type="dxa"/>
            <w:shd w:val="clear" w:color="auto" w:fill="FFFFFF" w:themeFill="background1"/>
          </w:tcPr>
          <w:p w14:paraId="1801B3DC" w14:textId="77777777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sz w:val="21"/>
                <w:szCs w:val="21"/>
              </w:rPr>
              <w:t>Počet podnikov dostávajúcich podporu v ľubovoľnej forme zo štrukturálnych fondov (bez ohľadu na to, či podpora predstavuje štátnu pomoc alebo nie).</w:t>
            </w:r>
          </w:p>
          <w:p w14:paraId="0D99C4CC" w14:textId="145DBCF7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B78BB">
              <w:rPr>
                <w:rFonts w:asciiTheme="minorHAnsi" w:hAnsiTheme="minorHAnsi" w:cstheme="minorHAnsi"/>
                <w:sz w:val="21"/>
                <w:szCs w:val="21"/>
              </w:rPr>
              <w:t>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shd w:val="clear" w:color="auto" w:fill="FFFFFF" w:themeFill="background1"/>
          </w:tcPr>
          <w:p w14:paraId="5F1F8892" w14:textId="3873EE68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podniky</w:t>
            </w:r>
          </w:p>
        </w:tc>
        <w:tc>
          <w:tcPr>
            <w:tcW w:w="1737" w:type="dxa"/>
            <w:shd w:val="clear" w:color="auto" w:fill="FFFFFF" w:themeFill="background1"/>
          </w:tcPr>
          <w:p w14:paraId="57C7274C" w14:textId="528DDAAE" w:rsidR="00CD5442" w:rsidRPr="001B78BB" w:rsidRDefault="00CD5442" w:rsidP="00CD544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0E3B7BC9" w14:textId="270B2951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1B087416" w14:textId="1D45B34F" w:rsidR="00CD5442" w:rsidRPr="001B78BB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78BB">
              <w:rPr>
                <w:rFonts w:asciiTheme="minorHAnsi" w:hAnsiTheme="minorHAnsi"/>
                <w:sz w:val="21"/>
                <w:szCs w:val="21"/>
              </w:rPr>
              <w:t xml:space="preserve">UR, </w:t>
            </w:r>
            <w:proofErr w:type="spellStart"/>
            <w:r w:rsidR="001F509D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2E5A2DF6" w14:textId="22DE321B" w:rsidR="00CD5442" w:rsidRPr="00A42D69" w:rsidRDefault="00CD5442" w:rsidP="001B78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1B78BB">
              <w:rPr>
                <w:rFonts w:asciiTheme="minorHAnsi" w:hAnsiTheme="minorHAnsi"/>
                <w:szCs w:val="22"/>
              </w:rPr>
              <w:t>áno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0F85FB5D" w14:textId="6496B7E6" w:rsidR="001F509D" w:rsidRDefault="00840492" w:rsidP="0091189F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1F509D">
        <w:rPr>
          <w:rFonts w:asciiTheme="minorHAnsi" w:hAnsiTheme="minorHAnsi"/>
        </w:rPr>
        <w:t>,</w:t>
      </w:r>
      <w:r w:rsidR="001F509D" w:rsidRPr="001F509D">
        <w:rPr>
          <w:rFonts w:asciiTheme="minorHAnsi" w:hAnsiTheme="minorHAnsi"/>
        </w:rPr>
        <w:t xml:space="preserve"> </w:t>
      </w:r>
      <w:proofErr w:type="spellStart"/>
      <w:r w:rsidR="001F509D">
        <w:rPr>
          <w:rFonts w:asciiTheme="minorHAnsi" w:hAnsiTheme="minorHAnsi"/>
        </w:rPr>
        <w:t>t.j</w:t>
      </w:r>
      <w:proofErr w:type="spellEnd"/>
      <w:r w:rsidR="001F509D">
        <w:rPr>
          <w:rFonts w:asciiTheme="minorHAnsi" w:hAnsiTheme="minorHAnsi"/>
        </w:rPr>
        <w:t>. ukazovatele označené ako „áno“ bez dôvetku.</w:t>
      </w:r>
    </w:p>
    <w:p w14:paraId="36CF19DA" w14:textId="31566894" w:rsidR="00535633" w:rsidRPr="00A42D69" w:rsidRDefault="00535633" w:rsidP="001B78BB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A6EA1">
      <w:pPr>
        <w:ind w:left="-426"/>
        <w:jc w:val="both"/>
        <w:rPr>
          <w:rFonts w:asciiTheme="minorHAnsi" w:hAnsiTheme="minorHAnsi"/>
        </w:rPr>
      </w:pPr>
    </w:p>
    <w:p w14:paraId="2C709BBE" w14:textId="0519E413" w:rsidR="005E6B6E" w:rsidRPr="00CF14C5" w:rsidRDefault="001A6EA1" w:rsidP="001B78BB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FE65E4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RPr="00CF14C5" w:rsidSect="001218E5">
      <w:headerReference w:type="first" r:id="rId8"/>
      <w:pgSz w:w="16840" w:h="11907" w:orient="landscape" w:code="9"/>
      <w:pgMar w:top="1474" w:right="1276" w:bottom="822" w:left="1247" w:header="426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274C5" w14:textId="77777777" w:rsidR="00D45331" w:rsidRDefault="00D45331">
      <w:r>
        <w:separator/>
      </w:r>
    </w:p>
  </w:endnote>
  <w:endnote w:type="continuationSeparator" w:id="0">
    <w:p w14:paraId="6ABA0CEF" w14:textId="77777777" w:rsidR="00D45331" w:rsidRDefault="00D45331">
      <w:r>
        <w:continuationSeparator/>
      </w:r>
    </w:p>
  </w:endnote>
  <w:endnote w:type="continuationNotice" w:id="1">
    <w:p w14:paraId="55DBF5EC" w14:textId="77777777" w:rsidR="00D45331" w:rsidRDefault="00D453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32A3A" w14:textId="77777777" w:rsidR="00D45331" w:rsidRDefault="00D45331">
      <w:r>
        <w:separator/>
      </w:r>
    </w:p>
  </w:footnote>
  <w:footnote w:type="continuationSeparator" w:id="0">
    <w:p w14:paraId="418AF134" w14:textId="77777777" w:rsidR="00D45331" w:rsidRDefault="00D45331">
      <w:r>
        <w:continuationSeparator/>
      </w:r>
    </w:p>
  </w:footnote>
  <w:footnote w:type="continuationNotice" w:id="1">
    <w:p w14:paraId="5B7D5F2C" w14:textId="77777777" w:rsidR="00D45331" w:rsidRDefault="00D45331"/>
  </w:footnote>
  <w:footnote w:id="2">
    <w:p w14:paraId="23620C2B" w14:textId="66E22D67" w:rsidR="00BC628D" w:rsidRPr="001A6EA1" w:rsidRDefault="00BC628D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BC628D" w:rsidRPr="001A6EA1" w:rsidRDefault="00BC628D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DD365" w14:textId="22623CAE" w:rsidR="001F509D" w:rsidRDefault="001F509D" w:rsidP="001F509D">
    <w:pPr>
      <w:pStyle w:val="Hlavika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05A76" wp14:editId="297B218E">
          <wp:simplePos x="0" y="0"/>
          <wp:positionH relativeFrom="column">
            <wp:posOffset>2111375</wp:posOffset>
          </wp:positionH>
          <wp:positionV relativeFrom="paragraph">
            <wp:posOffset>113030</wp:posOffset>
          </wp:positionV>
          <wp:extent cx="810260" cy="685165"/>
          <wp:effectExtent l="0" t="0" r="8890" b="635"/>
          <wp:wrapNone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66_logo-irop-2014-2020_verz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EF945D4" wp14:editId="3CD4F152">
          <wp:simplePos x="0" y="0"/>
          <wp:positionH relativeFrom="column">
            <wp:posOffset>6640507</wp:posOffset>
          </wp:positionH>
          <wp:positionV relativeFrom="paragraph">
            <wp:posOffset>87630</wp:posOffset>
          </wp:positionV>
          <wp:extent cx="2113280" cy="594360"/>
          <wp:effectExtent l="0" t="0" r="1270" b="0"/>
          <wp:wrapNone/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ropsky fond reg rozvoj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280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9AE5C22" wp14:editId="6F06B0AF">
          <wp:simplePos x="0" y="0"/>
          <wp:positionH relativeFrom="column">
            <wp:posOffset>-209322</wp:posOffset>
          </wp:positionH>
          <wp:positionV relativeFrom="paragraph">
            <wp:posOffset>-54934</wp:posOffset>
          </wp:positionV>
          <wp:extent cx="1476375" cy="853440"/>
          <wp:effectExtent l="0" t="0" r="9525" b="381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853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A217C7" w14:textId="73670C3D" w:rsidR="001F509D" w:rsidRDefault="001F509D" w:rsidP="001F509D">
    <w:pPr>
      <w:pStyle w:val="Hlavika"/>
      <w:rPr>
        <w:rFonts w:ascii="Arial Narrow" w:hAnsi="Arial Narrow" w:cs="Arial"/>
        <w:sz w:val="20"/>
      </w:rPr>
    </w:pPr>
  </w:p>
  <w:p w14:paraId="795B50FB" w14:textId="00117861" w:rsidR="001F509D" w:rsidRDefault="001F509D" w:rsidP="001F509D">
    <w:pPr>
      <w:pStyle w:val="Hlavika"/>
      <w:rPr>
        <w:rFonts w:ascii="Arial Narrow" w:hAnsi="Arial Narrow" w:cs="Arial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62336" behindDoc="0" locked="1" layoutInCell="1" allowOverlap="1" wp14:anchorId="3943C727" wp14:editId="37BCE42D">
          <wp:simplePos x="0" y="0"/>
          <wp:positionH relativeFrom="column">
            <wp:posOffset>4000500</wp:posOffset>
          </wp:positionH>
          <wp:positionV relativeFrom="paragraph">
            <wp:posOffset>-343535</wp:posOffset>
          </wp:positionV>
          <wp:extent cx="1858645" cy="666750"/>
          <wp:effectExtent l="0" t="0" r="8255" b="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64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0FCBFA" w14:textId="77777777" w:rsidR="001F509D" w:rsidRDefault="001F509D" w:rsidP="001F509D">
    <w:pPr>
      <w:pStyle w:val="Hlavika"/>
      <w:rPr>
        <w:rFonts w:ascii="Arial Narrow" w:hAnsi="Arial Narrow" w:cs="Arial"/>
        <w:sz w:val="20"/>
      </w:rPr>
    </w:pPr>
  </w:p>
  <w:p w14:paraId="021D3FE7" w14:textId="77777777" w:rsidR="001F509D" w:rsidRDefault="001F509D" w:rsidP="001F509D">
    <w:pPr>
      <w:pStyle w:val="Hlavika"/>
      <w:rPr>
        <w:rFonts w:ascii="Arial Narrow" w:hAnsi="Arial Narrow" w:cs="Arial"/>
        <w:sz w:val="20"/>
      </w:rPr>
    </w:pPr>
  </w:p>
  <w:p w14:paraId="60878C54" w14:textId="3729373E" w:rsidR="001F509D" w:rsidRPr="00730D1A" w:rsidRDefault="001F509D" w:rsidP="001F509D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 xml:space="preserve">Príloha č. 3  výzvy </w:t>
    </w:r>
    <w:r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>Zoznam povinných merateľných ukazovateľov projektu</w:t>
    </w:r>
  </w:p>
  <w:p w14:paraId="1D8CEB40" w14:textId="4B1F5DAA" w:rsidR="005E6B6E" w:rsidRPr="005E6B6E" w:rsidRDefault="005E6B6E" w:rsidP="001F509D">
    <w:pPr>
      <w:pStyle w:val="Hlavika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308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F444202"/>
    <w:multiLevelType w:val="multilevel"/>
    <w:tmpl w:val="71DC7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17365D" w:themeColor="text2" w:themeShade="BF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5D67CD"/>
    <w:multiLevelType w:val="hybridMultilevel"/>
    <w:tmpl w:val="E474CE8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C5DB0"/>
    <w:multiLevelType w:val="hybridMultilevel"/>
    <w:tmpl w:val="D02233E4"/>
    <w:lvl w:ilvl="0" w:tplc="05EA23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9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30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9"/>
  </w:num>
  <w:num w:numId="2">
    <w:abstractNumId w:val="17"/>
  </w:num>
  <w:num w:numId="3">
    <w:abstractNumId w:val="39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1"/>
  </w:num>
  <w:num w:numId="12">
    <w:abstractNumId w:val="27"/>
  </w:num>
  <w:num w:numId="13">
    <w:abstractNumId w:val="22"/>
  </w:num>
  <w:num w:numId="14">
    <w:abstractNumId w:val="10"/>
  </w:num>
  <w:num w:numId="15">
    <w:abstractNumId w:val="28"/>
  </w:num>
  <w:num w:numId="16">
    <w:abstractNumId w:val="25"/>
  </w:num>
  <w:num w:numId="17">
    <w:abstractNumId w:val="4"/>
  </w:num>
  <w:num w:numId="18">
    <w:abstractNumId w:val="26"/>
  </w:num>
  <w:num w:numId="19">
    <w:abstractNumId w:val="12"/>
  </w:num>
  <w:num w:numId="20">
    <w:abstractNumId w:val="30"/>
  </w:num>
  <w:num w:numId="21">
    <w:abstractNumId w:val="24"/>
  </w:num>
  <w:num w:numId="22">
    <w:abstractNumId w:val="16"/>
  </w:num>
  <w:num w:numId="23">
    <w:abstractNumId w:val="36"/>
  </w:num>
  <w:num w:numId="24">
    <w:abstractNumId w:val="11"/>
  </w:num>
  <w:num w:numId="25">
    <w:abstractNumId w:val="20"/>
  </w:num>
  <w:num w:numId="26">
    <w:abstractNumId w:val="2"/>
  </w:num>
  <w:num w:numId="27">
    <w:abstractNumId w:val="34"/>
  </w:num>
  <w:num w:numId="28">
    <w:abstractNumId w:val="37"/>
  </w:num>
  <w:num w:numId="29">
    <w:abstractNumId w:val="33"/>
  </w:num>
  <w:num w:numId="30">
    <w:abstractNumId w:val="35"/>
  </w:num>
  <w:num w:numId="31">
    <w:abstractNumId w:val="32"/>
  </w:num>
  <w:num w:numId="32">
    <w:abstractNumId w:val="14"/>
  </w:num>
  <w:num w:numId="33">
    <w:abstractNumId w:val="5"/>
  </w:num>
  <w:num w:numId="34">
    <w:abstractNumId w:val="38"/>
  </w:num>
  <w:num w:numId="35">
    <w:abstractNumId w:val="7"/>
  </w:num>
  <w:num w:numId="36">
    <w:abstractNumId w:val="23"/>
  </w:num>
  <w:num w:numId="37">
    <w:abstractNumId w:val="13"/>
  </w:num>
  <w:num w:numId="38">
    <w:abstractNumId w:val="19"/>
  </w:num>
  <w:num w:numId="39">
    <w:abstractNumId w:val="21"/>
  </w:num>
  <w:num w:numId="4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41E1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18E5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37655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8BB"/>
    <w:rsid w:val="001B7C20"/>
    <w:rsid w:val="001B7E56"/>
    <w:rsid w:val="001C3374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09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2B2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1409C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571C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257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71F25"/>
    <w:rsid w:val="00772ADF"/>
    <w:rsid w:val="007737D7"/>
    <w:rsid w:val="007738F7"/>
    <w:rsid w:val="0077442F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5D9B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5166"/>
    <w:rsid w:val="008663F9"/>
    <w:rsid w:val="00866E72"/>
    <w:rsid w:val="008672C7"/>
    <w:rsid w:val="00870417"/>
    <w:rsid w:val="0087121B"/>
    <w:rsid w:val="0087201F"/>
    <w:rsid w:val="00873029"/>
    <w:rsid w:val="008735AD"/>
    <w:rsid w:val="0087497A"/>
    <w:rsid w:val="00876FA8"/>
    <w:rsid w:val="008803EE"/>
    <w:rsid w:val="00880EB6"/>
    <w:rsid w:val="00885249"/>
    <w:rsid w:val="008863BF"/>
    <w:rsid w:val="00886DA5"/>
    <w:rsid w:val="00886FE3"/>
    <w:rsid w:val="008900F1"/>
    <w:rsid w:val="00891300"/>
    <w:rsid w:val="00892308"/>
    <w:rsid w:val="008923E3"/>
    <w:rsid w:val="00894D18"/>
    <w:rsid w:val="00897B69"/>
    <w:rsid w:val="008A0AE8"/>
    <w:rsid w:val="008A11BD"/>
    <w:rsid w:val="008A2593"/>
    <w:rsid w:val="008A3872"/>
    <w:rsid w:val="008A425D"/>
    <w:rsid w:val="008A5A2D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9008CC"/>
    <w:rsid w:val="00902C45"/>
    <w:rsid w:val="00903C4D"/>
    <w:rsid w:val="009056DE"/>
    <w:rsid w:val="00905737"/>
    <w:rsid w:val="00906C3A"/>
    <w:rsid w:val="00906C43"/>
    <w:rsid w:val="009079B3"/>
    <w:rsid w:val="0091189F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900"/>
    <w:rsid w:val="00B87829"/>
    <w:rsid w:val="00B87CD7"/>
    <w:rsid w:val="00B902F2"/>
    <w:rsid w:val="00B91BBD"/>
    <w:rsid w:val="00B92908"/>
    <w:rsid w:val="00B92EE0"/>
    <w:rsid w:val="00B9674B"/>
    <w:rsid w:val="00B97332"/>
    <w:rsid w:val="00BA2C4F"/>
    <w:rsid w:val="00BA2F3A"/>
    <w:rsid w:val="00BA4F5E"/>
    <w:rsid w:val="00BA6B8A"/>
    <w:rsid w:val="00BA7127"/>
    <w:rsid w:val="00BB01DC"/>
    <w:rsid w:val="00BB16AA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568DF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442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5331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11D9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58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27A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E65E4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B1185"/>
    <w:rsid w:val="00252F57"/>
    <w:rsid w:val="00550EB9"/>
    <w:rsid w:val="00686E97"/>
    <w:rsid w:val="006E2383"/>
    <w:rsid w:val="00A74980"/>
    <w:rsid w:val="00B62629"/>
    <w:rsid w:val="00C31B9D"/>
    <w:rsid w:val="00C40C5F"/>
    <w:rsid w:val="00CA2517"/>
    <w:rsid w:val="00CC74B4"/>
    <w:rsid w:val="00D34F7D"/>
    <w:rsid w:val="00DB3628"/>
    <w:rsid w:val="00E61CFE"/>
    <w:rsid w:val="00F56F5D"/>
    <w:rsid w:val="00F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40C5F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8C5C1-EF0B-41C7-8114-4D6DF153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2021-03-26T10:54:00Z</dcterms:created>
  <dcterms:modified xsi:type="dcterms:W3CDTF">2021-03-30T13:22:00Z</dcterms:modified>
</cp:coreProperties>
</file>